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CCC1" w14:textId="2CE58079" w:rsidR="002718A0" w:rsidRDefault="002718A0" w:rsidP="00FA3CD6">
      <w:pPr>
        <w:jc w:val="center"/>
        <w:rPr>
          <w:b/>
          <w:sz w:val="24"/>
        </w:rPr>
      </w:pPr>
      <w:r w:rsidRPr="002718A0">
        <w:rPr>
          <w:b/>
          <w:sz w:val="24"/>
        </w:rPr>
        <w:t>Math 451</w:t>
      </w:r>
      <w:r w:rsidR="000E0DF9">
        <w:rPr>
          <w:b/>
          <w:sz w:val="24"/>
        </w:rPr>
        <w:t>6</w:t>
      </w:r>
      <w:r w:rsidRPr="002718A0">
        <w:rPr>
          <w:b/>
          <w:sz w:val="24"/>
        </w:rPr>
        <w:t xml:space="preserve">: </w:t>
      </w:r>
      <w:r w:rsidR="009A2C98">
        <w:rPr>
          <w:b/>
          <w:sz w:val="24"/>
        </w:rPr>
        <w:t>F</w:t>
      </w:r>
      <w:r w:rsidRPr="002718A0">
        <w:rPr>
          <w:b/>
          <w:sz w:val="24"/>
        </w:rPr>
        <w:t>inal Exam</w:t>
      </w:r>
    </w:p>
    <w:p w14:paraId="1650CCC2" w14:textId="0C60C23E" w:rsidR="00B26C98" w:rsidRPr="00B26C98" w:rsidRDefault="00B26C98" w:rsidP="00B26C98">
      <w:pPr>
        <w:ind w:left="360" w:right="360"/>
        <w:jc w:val="center"/>
        <w:rPr>
          <w:i/>
        </w:rPr>
      </w:pPr>
      <w:r w:rsidRPr="00B26C98">
        <w:rPr>
          <w:i/>
        </w:rPr>
        <w:t xml:space="preserve">This is a take-home exam, due on the </w:t>
      </w:r>
      <w:r w:rsidR="00672AE9">
        <w:rPr>
          <w:i/>
        </w:rPr>
        <w:t xml:space="preserve">last </w:t>
      </w:r>
      <w:r w:rsidRPr="00B26C98">
        <w:rPr>
          <w:i/>
        </w:rPr>
        <w:t>day of final</w:t>
      </w:r>
      <w:r w:rsidR="00672AE9">
        <w:rPr>
          <w:i/>
        </w:rPr>
        <w:t>’s week</w:t>
      </w:r>
      <w:r w:rsidRPr="00B26C98">
        <w:rPr>
          <w:i/>
        </w:rPr>
        <w:t>. You can submit it in person or via email. You must complete the exam on your own, but you may use any other resource as necessary.</w:t>
      </w:r>
    </w:p>
    <w:p w14:paraId="1650CCC3" w14:textId="77777777" w:rsidR="009272CB" w:rsidRPr="009272CB" w:rsidRDefault="009272CB" w:rsidP="00AD110B">
      <w:pPr>
        <w:pStyle w:val="ListParagraph"/>
        <w:numPr>
          <w:ilvl w:val="0"/>
          <w:numId w:val="1"/>
        </w:numPr>
        <w:rPr>
          <w:b/>
        </w:rPr>
      </w:pPr>
      <w:r w:rsidRPr="009272CB">
        <w:rPr>
          <w:b/>
        </w:rPr>
        <w:t>Taylor Series</w:t>
      </w:r>
    </w:p>
    <w:p w14:paraId="1650CCC4" w14:textId="4B3E0BDC" w:rsidR="00BF5924" w:rsidRPr="00AD110B" w:rsidRDefault="00BF5924" w:rsidP="009272CB">
      <w:pPr>
        <w:pStyle w:val="ListParagraph"/>
        <w:numPr>
          <w:ilvl w:val="0"/>
          <w:numId w:val="12"/>
        </w:numPr>
      </w:pPr>
      <w:r w:rsidRPr="00BF5924">
        <w:t xml:space="preserve">Find Taylor series centered at zero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(1+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="005A77AD">
        <w:rPr>
          <w:rFonts w:eastAsiaTheme="minorEastAsia"/>
        </w:rPr>
        <w:t>, including the radius of convergence.</w:t>
      </w:r>
    </w:p>
    <w:p w14:paraId="2659DB7A" w14:textId="59E48B7A" w:rsidR="00AD110B" w:rsidRPr="00FA3CD6" w:rsidRDefault="00AB6239" w:rsidP="00AB6239">
      <w:pPr>
        <w:pStyle w:val="ListParagraph"/>
        <w:numPr>
          <w:ilvl w:val="0"/>
          <w:numId w:val="12"/>
        </w:numPr>
      </w:pPr>
      <w:r>
        <w:t>Prove Lagrange’s version of the remainder for Taylor series.</w:t>
      </w:r>
      <w:r w:rsidR="00AD110B">
        <w:br/>
      </w:r>
    </w:p>
    <w:p w14:paraId="1650CCC6" w14:textId="77777777" w:rsidR="009272CB" w:rsidRPr="009272CB" w:rsidRDefault="009272CB" w:rsidP="00AD110B">
      <w:pPr>
        <w:pStyle w:val="ListParagraph"/>
        <w:numPr>
          <w:ilvl w:val="0"/>
          <w:numId w:val="1"/>
        </w:numPr>
        <w:rPr>
          <w:b/>
        </w:rPr>
      </w:pPr>
      <w:r w:rsidRPr="009272CB">
        <w:rPr>
          <w:b/>
        </w:rPr>
        <w:t>Lebesgues Outer Measure and Measure</w:t>
      </w:r>
    </w:p>
    <w:p w14:paraId="1650CCC7" w14:textId="77777777" w:rsidR="009C56B9" w:rsidRPr="00BF5924" w:rsidRDefault="009A2C98" w:rsidP="009C56B9">
      <w:pPr>
        <w:pStyle w:val="ListParagraph"/>
        <w:numPr>
          <w:ilvl w:val="0"/>
          <w:numId w:val="11"/>
        </w:numPr>
      </w:pPr>
      <w:r>
        <w:t>State the definition of a set being Lebesgue measurable. Use that definition and some basic properties of measure to s</w:t>
      </w:r>
      <w:r w:rsidR="009C56B9">
        <w:t xml:space="preserve">how that every set </w:t>
      </w:r>
      <w:r w:rsidR="007D5640">
        <w:t xml:space="preserve">in </w:t>
      </w:r>
      <w:r w:rsidR="007D5640" w:rsidRPr="009A2C98">
        <w:rPr>
          <w:b/>
          <w:i/>
        </w:rPr>
        <w:t xml:space="preserve">R </w:t>
      </w:r>
      <w:r w:rsidR="009C56B9">
        <w:t>with outer measure zero is measurable</w:t>
      </w:r>
      <w:r w:rsidR="003D60F5">
        <w:t>.</w:t>
      </w:r>
    </w:p>
    <w:p w14:paraId="1650CCC8" w14:textId="5BB397CE" w:rsidR="009C56B9" w:rsidRDefault="003D60F5" w:rsidP="00AD110B">
      <w:pPr>
        <w:pStyle w:val="ListParagraph"/>
        <w:numPr>
          <w:ilvl w:val="0"/>
          <w:numId w:val="11"/>
        </w:numPr>
      </w:pPr>
      <w:r>
        <w:t>Show that g</w:t>
      </w:r>
      <w:r w:rsidR="009C56B9">
        <w:t xml:space="preserve">iven any set </w:t>
      </w:r>
      <w:r w:rsidR="0036077C" w:rsidRPr="003D60F5">
        <w:rPr>
          <w:i/>
        </w:rPr>
        <w:t>A</w:t>
      </w:r>
      <w:r w:rsidR="009C56B9">
        <w:t xml:space="preserve"> and any </w:t>
      </w:r>
      <m:oMath>
        <m:r>
          <w:rPr>
            <w:rFonts w:ascii="Cambria Math" w:hAnsi="Cambria Math"/>
          </w:rPr>
          <m:t>ε&gt;0</m:t>
        </m:r>
      </m:oMath>
      <w:r w:rsidR="009C56B9">
        <w:t xml:space="preserve"> there is an open set </w:t>
      </w:r>
      <w:r w:rsidR="009C56B9" w:rsidRPr="003D60F5">
        <w:rPr>
          <w:i/>
        </w:rPr>
        <w:t>O</w:t>
      </w:r>
      <w:r w:rsidR="0036077C">
        <w:t xml:space="preserve"> such</w:t>
      </w:r>
      <w:r w:rsidR="009C56B9">
        <w:t xml:space="preserve"> that </w:t>
      </w:r>
      <m:oMath>
        <m:r>
          <w:rPr>
            <w:rFonts w:ascii="Cambria Math" w:hAnsi="Cambria Math"/>
          </w:rPr>
          <m:t>A⊂O</m:t>
        </m:r>
      </m:oMath>
      <w:r w:rsidR="009C56B9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O</m:t>
            </m:r>
          </m:e>
        </m:d>
        <m:r>
          <w:rPr>
            <w:rFonts w:ascii="Cambria Math" w:hAnsi="Cambria Math"/>
          </w:rPr>
          <m:t>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+ε</m:t>
        </m:r>
      </m:oMath>
      <w:r w:rsidRPr="003D60F5">
        <w:rPr>
          <w:rFonts w:eastAsiaTheme="minorEastAsia"/>
        </w:rPr>
        <w:t xml:space="preserve">. Then use that result to show that </w:t>
      </w:r>
      <w:r>
        <w:rPr>
          <w:rFonts w:eastAsiaTheme="minorEastAsia"/>
        </w:rPr>
        <w:t xml:space="preserve">for </w:t>
      </w:r>
      <w:r w:rsidR="009C56B9">
        <w:t xml:space="preserve">any set </w:t>
      </w:r>
      <w:r w:rsidR="009C56B9" w:rsidRPr="003D60F5">
        <w:rPr>
          <w:i/>
        </w:rPr>
        <w:t>A</w:t>
      </w:r>
      <w:r w:rsidR="009C56B9">
        <w:t xml:space="preserve"> there </w:t>
      </w:r>
      <w:r>
        <w:t xml:space="preserve">also </w:t>
      </w:r>
      <w:r w:rsidR="009C56B9">
        <w:t xml:space="preserve">exists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δ</m:t>
            </m:r>
          </m:sub>
        </m:sSub>
      </m:oMath>
      <w:r w:rsidR="0037443F">
        <w:rPr>
          <w:rFonts w:eastAsiaTheme="minorEastAsia"/>
        </w:rPr>
        <w:t xml:space="preserve"> </w:t>
      </w:r>
      <w:r w:rsidR="009C56B9">
        <w:t xml:space="preserve">set </w:t>
      </w:r>
      <w:r w:rsidR="009C56B9" w:rsidRPr="003D60F5">
        <w:rPr>
          <w:i/>
        </w:rPr>
        <w:t>G</w:t>
      </w:r>
      <w:r w:rsidR="009C56B9">
        <w:t xml:space="preserve"> such that </w:t>
      </w:r>
      <m:oMath>
        <m:r>
          <w:rPr>
            <w:rFonts w:ascii="Cambria Math" w:hAnsi="Cambria Math"/>
          </w:rPr>
          <m:t>A⊂ G</m:t>
        </m:r>
      </m:oMath>
      <w:r w:rsidR="009C56B9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(G)</m:t>
        </m:r>
      </m:oMath>
      <w:r w:rsidR="009C56B9">
        <w:t xml:space="preserve">. Note that a set is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δ</m:t>
            </m:r>
          </m:sub>
        </m:sSub>
      </m:oMath>
      <w:r w:rsidR="0036077C" w:rsidRPr="003D60F5">
        <w:rPr>
          <w:rFonts w:eastAsiaTheme="minorEastAsia"/>
        </w:rPr>
        <w:t xml:space="preserve"> set</w:t>
      </w:r>
      <w:r w:rsidR="009C56B9">
        <w:t xml:space="preserve"> if it is the countable intersect</w:t>
      </w:r>
      <w:r w:rsidR="0036077C">
        <w:t>ion of open sets (</w:t>
      </w:r>
      <m:oMath>
        <m:r>
          <w:rPr>
            <w:rFonts w:ascii="Cambria Math" w:hAnsi="Cambria Math"/>
          </w:rPr>
          <m:t>δ</m:t>
        </m:r>
      </m:oMath>
      <w:r w:rsidR="009C56B9">
        <w:t xml:space="preserve"> for “Durchschnitt”</w:t>
      </w:r>
      <w:r w:rsidR="0036077C">
        <w:t>, German for intersection</w:t>
      </w:r>
      <w:r w:rsidR="009C56B9">
        <w:t>).</w:t>
      </w:r>
      <w:r w:rsidR="00AD110B">
        <w:br/>
      </w:r>
    </w:p>
    <w:p w14:paraId="1650CCCA" w14:textId="77777777" w:rsidR="00760098" w:rsidRPr="009272CB" w:rsidRDefault="009272CB" w:rsidP="00AD110B">
      <w:pPr>
        <w:pStyle w:val="ListParagraph"/>
        <w:numPr>
          <w:ilvl w:val="0"/>
          <w:numId w:val="1"/>
        </w:numPr>
      </w:pPr>
      <w:r w:rsidRPr="009272CB">
        <w:rPr>
          <w:b/>
        </w:rPr>
        <w:t>Lebesgue Integration</w:t>
      </w:r>
    </w:p>
    <w:p w14:paraId="1650CCCB" w14:textId="658F3993" w:rsidR="00063BE4" w:rsidRDefault="00261055" w:rsidP="0036077C">
      <w:pPr>
        <w:pStyle w:val="ListParagraph"/>
        <w:numPr>
          <w:ilvl w:val="0"/>
          <w:numId w:val="13"/>
        </w:numPr>
      </w:pPr>
      <w:r>
        <w:t>S</w:t>
      </w:r>
      <w:r w:rsidR="005E6327">
        <w:t>h</w:t>
      </w:r>
      <w:r w:rsidR="00063BE4">
        <w:t xml:space="preserve">ow that if </w:t>
      </w:r>
      <w:r w:rsidR="00063BE4" w:rsidRPr="0014503F">
        <w:rPr>
          <w:i/>
        </w:rPr>
        <w:t>f</w:t>
      </w:r>
      <w:r w:rsidR="00063BE4">
        <w:t xml:space="preserve"> is</w:t>
      </w:r>
      <w:r w:rsidR="001B4868">
        <w:t xml:space="preserve"> </w:t>
      </w:r>
      <w:r w:rsidR="005E6327">
        <w:t xml:space="preserve">bounded and </w:t>
      </w:r>
      <w:r w:rsidR="001B4868">
        <w:t xml:space="preserve">integrable and </w:t>
      </w:r>
      <m:oMath>
        <m:r>
          <w:rPr>
            <w:rFonts w:ascii="Cambria Math" w:hAnsi="Cambria Math"/>
          </w:rPr>
          <m:t>μ(E)=0</m:t>
        </m:r>
      </m:oMath>
      <w:r w:rsidR="001B4868">
        <w:t xml:space="preserve"> then</w:t>
      </w:r>
      <w:r w:rsidR="00063BE4"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E</m:t>
            </m:r>
          </m:sub>
          <m:sup/>
          <m:e>
            <m:r>
              <w:rPr>
                <w:rFonts w:ascii="Cambria Math" w:hAnsi="Cambria Math"/>
              </w:rPr>
              <m:t>f</m:t>
            </m:r>
          </m:e>
        </m:nary>
        <m:r>
          <w:rPr>
            <w:rFonts w:ascii="Cambria Math" w:hAnsi="Cambria Math"/>
          </w:rPr>
          <m:t>dμ=0</m:t>
        </m:r>
      </m:oMath>
    </w:p>
    <w:p w14:paraId="1650CCCC" w14:textId="28AFE3C4" w:rsidR="00FA3CD6" w:rsidRPr="0010240D" w:rsidRDefault="00760098" w:rsidP="00AD110B">
      <w:pPr>
        <w:pStyle w:val="ListParagraph"/>
        <w:numPr>
          <w:ilvl w:val="0"/>
          <w:numId w:val="13"/>
        </w:numPr>
        <w:rPr>
          <w:dstrike/>
        </w:rPr>
      </w:pPr>
      <w:r w:rsidRPr="0010240D">
        <w:rPr>
          <w:dstrike/>
        </w:rPr>
        <w:t xml:space="preserve">Show that every continuous function on </w:t>
      </w:r>
      <w:r w:rsidRPr="0010240D">
        <w:rPr>
          <w:i/>
          <w:dstrike/>
        </w:rPr>
        <w:t>[a, b]</w:t>
      </w:r>
      <w:r w:rsidRPr="0010240D">
        <w:rPr>
          <w:dstrike/>
        </w:rPr>
        <w:t xml:space="preserve"> is Lebesgue integrable</w:t>
      </w:r>
      <w:r w:rsidR="00BF5924" w:rsidRPr="0010240D">
        <w:rPr>
          <w:dstrike/>
        </w:rPr>
        <w:t>.</w:t>
      </w:r>
      <w:r w:rsidR="00AD110B" w:rsidRPr="0010240D">
        <w:rPr>
          <w:dstrike/>
        </w:rPr>
        <w:br/>
      </w:r>
    </w:p>
    <w:p w14:paraId="1650CCCE" w14:textId="4E144683" w:rsidR="009272CB" w:rsidRPr="009272CB" w:rsidRDefault="009272CB" w:rsidP="00E4262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272CB">
        <w:rPr>
          <w:b/>
        </w:rPr>
        <w:t>Fourier Series</w:t>
      </w:r>
      <w:r w:rsidR="009641A5">
        <w:rPr>
          <w:b/>
        </w:rPr>
        <w:t xml:space="preserve"> and Fourier Transform</w:t>
      </w:r>
    </w:p>
    <w:p w14:paraId="1650CCCF" w14:textId="7BEA1972" w:rsidR="00760098" w:rsidRDefault="00760098" w:rsidP="00E42626">
      <w:pPr>
        <w:pStyle w:val="ListParagraph"/>
        <w:numPr>
          <w:ilvl w:val="0"/>
          <w:numId w:val="9"/>
        </w:numPr>
        <w:spacing w:after="0"/>
      </w:pPr>
      <w:r>
        <w:t>Find the Fourier series of the function</w:t>
      </w:r>
      <w:r w:rsidR="008B620C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 xml:space="preserve">0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if</m:t>
                  </m:r>
                  <m:r>
                    <w:rPr>
                      <w:rFonts w:ascii="Cambria Math" w:hAnsi="Cambria Math"/>
                    </w:rPr>
                    <m:t>-π≤x≤0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1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if </m:t>
                  </m:r>
                  <m:r>
                    <w:rPr>
                      <w:rFonts w:ascii="Cambria Math" w:hAnsi="Cambria Math"/>
                    </w:rPr>
                    <m:t xml:space="preserve">    0&lt;x&lt;1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0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if</m:t>
                  </m:r>
                  <m:r>
                    <w:rPr>
                      <w:rFonts w:ascii="Cambria Math" w:hAnsi="Cambria Math"/>
                    </w:rPr>
                    <m:t xml:space="preserve">     1≤x≤π</m:t>
                  </m:r>
                </m:e>
              </m:mr>
            </m:m>
          </m:e>
        </m:d>
      </m:oMath>
      <w:r w:rsidR="0014503F">
        <w:rPr>
          <w:rFonts w:eastAsiaTheme="minorEastAsia"/>
        </w:rPr>
        <w:t xml:space="preserve">. </w:t>
      </w:r>
      <w:r w:rsidR="009641A5">
        <w:rPr>
          <w:rFonts w:eastAsiaTheme="minorEastAsia"/>
        </w:rPr>
        <w:t>V</w:t>
      </w:r>
      <w:r w:rsidR="0014503F">
        <w:rPr>
          <w:rFonts w:eastAsiaTheme="minorEastAsia"/>
        </w:rPr>
        <w:t>erify your calculations by plotting the sum of the first</w:t>
      </w:r>
      <w:r w:rsidR="002675AB">
        <w:rPr>
          <w:rFonts w:eastAsiaTheme="minorEastAsia"/>
        </w:rPr>
        <w:t>, say, 5</w:t>
      </w:r>
      <w:r w:rsidR="0014503F">
        <w:rPr>
          <w:rFonts w:eastAsiaTheme="minorEastAsia"/>
        </w:rPr>
        <w:t xml:space="preserve">0 </w:t>
      </w:r>
      <w:r w:rsidR="007E6F49">
        <w:rPr>
          <w:rFonts w:eastAsiaTheme="minorEastAsia"/>
        </w:rPr>
        <w:t>terms</w:t>
      </w:r>
      <w:r w:rsidR="0014503F">
        <w:rPr>
          <w:rFonts w:eastAsiaTheme="minorEastAsia"/>
        </w:rPr>
        <w:t xml:space="preserve"> using </w:t>
      </w:r>
      <w:r w:rsidR="009D20C8">
        <w:rPr>
          <w:rFonts w:eastAsiaTheme="minorEastAsia"/>
        </w:rPr>
        <w:t>Mathematica</w:t>
      </w:r>
      <w:r w:rsidR="0014503F">
        <w:rPr>
          <w:rFonts w:eastAsiaTheme="minorEastAsia"/>
        </w:rPr>
        <w:t>.</w:t>
      </w:r>
    </w:p>
    <w:p w14:paraId="1650CCD0" w14:textId="17C68D9E" w:rsidR="00ED221C" w:rsidRDefault="009D20C8" w:rsidP="00AD110B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</w:rPr>
        <w:t>Extend the function</w:t>
      </w:r>
      <w:r w:rsidR="00672AE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</m:oMath>
      <w:r w:rsidR="00672AE9">
        <w:rPr>
          <w:rFonts w:eastAsiaTheme="minorEastAsia"/>
        </w:rPr>
        <w:t xml:space="preserve"> above</w:t>
      </w:r>
      <w:bookmarkStart w:id="0" w:name="_GoBack"/>
      <w:bookmarkEnd w:id="0"/>
      <w:r>
        <w:rPr>
          <w:rFonts w:eastAsiaTheme="minorEastAsia"/>
        </w:rPr>
        <w:t xml:space="preserve"> to be defined on all of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, with </w:t>
      </w:r>
      <m:oMath>
        <m:r>
          <w:rPr>
            <w:rFonts w:ascii="Cambria Math" w:eastAsiaTheme="minorEastAsia" w:hAnsi="Cambria Math"/>
          </w:rPr>
          <m:t>f(x) = 0</m:t>
        </m:r>
      </m:oMath>
      <w:r w:rsidR="009641A5">
        <w:rPr>
          <w:rFonts w:eastAsiaTheme="minorEastAsia"/>
        </w:rPr>
        <w:t xml:space="preserve"> outside the interval </w:t>
      </w:r>
      <m:oMath>
        <m:r>
          <w:rPr>
            <w:rFonts w:ascii="Cambria Math" w:eastAsiaTheme="minorEastAsia" w:hAnsi="Cambria Math"/>
          </w:rPr>
          <m:t>[-π,π]</m:t>
        </m:r>
      </m:oMath>
      <w:r>
        <w:rPr>
          <w:rFonts w:eastAsiaTheme="minorEastAsia"/>
        </w:rPr>
        <w:t xml:space="preserve">. Find the Fourier transform for </w:t>
      </w:r>
      <m:oMath>
        <m:r>
          <w:rPr>
            <w:rFonts w:ascii="Cambria Math" w:eastAsiaTheme="minorEastAsia" w:hAnsi="Cambria Math"/>
          </w:rPr>
          <m:t>f</m:t>
        </m:r>
      </m:oMath>
    </w:p>
    <w:p w14:paraId="1650CCD2" w14:textId="77777777" w:rsidR="002718A0" w:rsidRPr="00ED221C" w:rsidRDefault="009272CB" w:rsidP="00AD110B">
      <w:pPr>
        <w:spacing w:after="0"/>
        <w:rPr>
          <w:rFonts w:eastAsiaTheme="minorEastAsia"/>
        </w:rPr>
      </w:pPr>
      <w:r w:rsidRPr="00ED221C">
        <w:rPr>
          <w:b/>
        </w:rPr>
        <w:t>5. Metric Spaces</w:t>
      </w:r>
    </w:p>
    <w:p w14:paraId="7F2FAB13" w14:textId="77777777" w:rsidR="0044682D" w:rsidRDefault="0044682D" w:rsidP="0044682D">
      <w:pPr>
        <w:pStyle w:val="ListParagraph"/>
        <w:numPr>
          <w:ilvl w:val="0"/>
          <w:numId w:val="8"/>
        </w:numPr>
      </w:pPr>
      <w:r>
        <w:t xml:space="preserve">Show that for any metric space </w:t>
      </w:r>
      <m:oMath>
        <m:r>
          <w:rPr>
            <w:rFonts w:ascii="Cambria Math" w:hAnsi="Cambria Math"/>
          </w:rPr>
          <m:t>(X,ρ)</m:t>
        </m:r>
      </m:oMath>
      <w:r>
        <w:rPr>
          <w:rFonts w:eastAsiaTheme="minorEastAsia"/>
        </w:rPr>
        <w:t xml:space="preserve"> we have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ρ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x,z</m:t>
                </m:r>
              </m:e>
            </m:d>
            <m:r>
              <w:rPr>
                <w:rFonts w:ascii="Cambria Math" w:eastAsiaTheme="minorEastAsia" w:hAnsi="Cambria Math"/>
              </w:rPr>
              <m:t>-ρ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y,z</m:t>
                </m:r>
              </m:e>
            </m:d>
          </m:e>
        </m:d>
        <m:r>
          <w:rPr>
            <w:rFonts w:ascii="Cambria Math" w:eastAsiaTheme="minorEastAsia" w:hAnsi="Cambria Math"/>
          </w:rPr>
          <m:t>≤ρ(x,y)</m:t>
        </m:r>
      </m:oMath>
    </w:p>
    <w:p w14:paraId="2EF388A4" w14:textId="5275D2F6" w:rsidR="00572396" w:rsidRPr="0044682D" w:rsidRDefault="009523F8" w:rsidP="002813E7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t xml:space="preserve">Consider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sub>
        </m:sSub>
      </m:oMath>
      <w:r w:rsidRPr="0044682D">
        <w:rPr>
          <w:rFonts w:eastAsiaTheme="minorEastAsia"/>
        </w:rPr>
        <w:t>, i.e. the space of all sequences of numbers</w:t>
      </w:r>
      <m:oMath>
        <m:r>
          <w:rPr>
            <w:rFonts w:ascii="Cambria Math" w:eastAsiaTheme="minorEastAsia" w:hAnsi="Cambria Math"/>
          </w:rPr>
          <m:t xml:space="preserve"> {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}</m:t>
        </m:r>
      </m:oMath>
      <w:r w:rsidRPr="0044682D">
        <w:rPr>
          <w:rFonts w:eastAsiaTheme="minorEastAsia"/>
        </w:rPr>
        <w:t xml:space="preserve"> such that</w:t>
      </w:r>
      <m:oMath>
        <m:r>
          <w:rPr>
            <w:rFonts w:ascii="Cambria Math" w:eastAsiaTheme="minorEastAsia" w:hAnsi="Cambria Math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&lt;∞</m:t>
            </m:r>
          </m:e>
        </m:nary>
      </m:oMath>
      <w:r w:rsidRPr="0044682D">
        <w:rPr>
          <w:rFonts w:eastAsiaTheme="minorEastAsia"/>
        </w:rPr>
        <w:t xml:space="preserve"> with the standard metric</w:t>
      </w:r>
      <m:oMath>
        <m:r>
          <w:rPr>
            <w:rFonts w:ascii="Cambria Math" w:eastAsiaTheme="minorEastAsia" w:hAnsi="Cambria Math"/>
          </w:rPr>
          <m:t xml:space="preserve"> 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∞</m:t>
                </m:r>
              </m:sup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j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nary>
          </m:e>
        </m:rad>
      </m:oMath>
      <w:r>
        <w:t>. Define</w:t>
      </w:r>
      <w:r w:rsidR="009312A3">
        <w:t xml:space="preserve"> a function</w:t>
      </w:r>
      <m:oMath>
        <m:r>
          <w:rPr>
            <w:rFonts w:ascii="Cambria Math" w:hAnsi="Cambria Math"/>
          </w:rPr>
          <m:t xml:space="preserve"> f: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  <m:ctrlPr>
              <w:rPr>
                <w:rFonts w:ascii="Cambria Math" w:eastAsiaTheme="minorEastAsia" w:hAnsi="Cambria Math"/>
                <w:i/>
              </w:rPr>
            </m:ctrlPr>
          </m:sub>
        </m:sSub>
      </m:oMath>
      <w:r w:rsidR="009312A3" w:rsidRPr="0044682D">
        <w:rPr>
          <w:rFonts w:eastAsiaTheme="minorEastAsia"/>
        </w:rPr>
        <w:t xml:space="preserve"> such that </w:t>
      </w:r>
      <m:oMath>
        <m:r>
          <w:rPr>
            <w:rFonts w:ascii="Cambria Math" w:eastAsiaTheme="minorEastAsia" w:hAnsi="Cambria Math"/>
          </w:rPr>
          <m:t xml:space="preserve">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, …</m:t>
            </m:r>
          </m:e>
        </m:d>
        <m:r>
          <w:rPr>
            <w:rFonts w:ascii="Cambria Math" w:eastAsiaTheme="minorEastAsia" w:hAnsi="Cambria Math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, …)</m:t>
        </m:r>
      </m:oMath>
      <w:r w:rsidRPr="0044682D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>
        <w:t>Is</w:t>
      </w:r>
      <w:r w:rsidRPr="0044682D">
        <w:rPr>
          <w:i/>
        </w:rPr>
        <w:t xml:space="preserve"> </w:t>
      </w:r>
      <w:r w:rsidRPr="005A77AD">
        <w:rPr>
          <w:i/>
        </w:rPr>
        <w:t>f</w:t>
      </w:r>
      <w:r>
        <w:t xml:space="preserve"> 1-1? Is it onto? Is it continuous?</w:t>
      </w:r>
      <w:r w:rsidR="009312A3">
        <w:t xml:space="preserve"> Justify your answer</w:t>
      </w:r>
      <w:r w:rsidR="003D60F5">
        <w:t>s</w:t>
      </w:r>
      <w:r w:rsidR="009312A3">
        <w:t>.</w:t>
      </w:r>
      <w:r w:rsidR="0044682D">
        <w:t xml:space="preserve"> Finally, find</w:t>
      </w:r>
      <m:oMath>
        <m:r>
          <w:rPr>
            <w:rFonts w:ascii="Cambria Math" w:hAnsi="Cambria Math"/>
          </w:rPr>
          <m:t xml:space="preserve"> ρ(x,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)</m:t>
        </m:r>
      </m:oMath>
      <w:r w:rsidR="0044682D" w:rsidRPr="0044682D">
        <w:rPr>
          <w:rFonts w:eastAsiaTheme="minorEastAsia"/>
        </w:rPr>
        <w:t xml:space="preserve"> for</w:t>
      </w:r>
      <m:oMath>
        <m:r>
          <w:rPr>
            <w:rFonts w:ascii="Cambria Math" w:eastAsiaTheme="minorEastAsia" w:hAnsi="Cambria Math"/>
          </w:rPr>
          <m:t xml:space="preserve"> x={1,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  <m:r>
          <w:rPr>
            <w:rFonts w:ascii="Cambria Math" w:eastAsiaTheme="minorEastAsia" w:hAnsi="Cambria Math"/>
          </w:rPr>
          <m:t>, …}</m:t>
        </m:r>
      </m:oMath>
      <w:r w:rsidR="0044682D">
        <w:rPr>
          <w:rFonts w:eastAsiaTheme="minorEastAsia"/>
        </w:rPr>
        <w:t xml:space="preserve"> </w:t>
      </w:r>
    </w:p>
    <w:p w14:paraId="345FF06F" w14:textId="18CFC16B" w:rsidR="00934A93" w:rsidRPr="00EE7F5B" w:rsidRDefault="00EE7F5B" w:rsidP="00B94B6A">
      <w:pPr>
        <w:spacing w:after="0"/>
        <w:rPr>
          <w:rFonts w:eastAsiaTheme="minorEastAsia"/>
        </w:rPr>
      </w:pPr>
      <w:r>
        <w:rPr>
          <w:rFonts w:eastAsiaTheme="minorEastAsia"/>
          <w:b/>
        </w:rPr>
        <w:t xml:space="preserve">BONUS: </w:t>
      </w:r>
      <w:r w:rsidR="009D20C8" w:rsidRPr="00EE7F5B">
        <w:rPr>
          <w:rFonts w:eastAsiaTheme="minorEastAsia"/>
          <w:b/>
        </w:rPr>
        <w:t>Littlewood’s Three Principles</w:t>
      </w:r>
    </w:p>
    <w:p w14:paraId="0E7CA28E" w14:textId="1EA9E880" w:rsidR="00572396" w:rsidRDefault="00572396" w:rsidP="000168A7">
      <w:pPr>
        <w:pStyle w:val="ListParagraph"/>
        <w:ind w:left="360"/>
      </w:pPr>
      <w:r w:rsidRPr="00572396">
        <w:t>In the</w:t>
      </w:r>
      <w:r w:rsidR="00EF5A3C">
        <w:t>ir</w:t>
      </w:r>
      <w:r w:rsidRPr="00572396">
        <w:t xml:space="preserve"> presentation</w:t>
      </w:r>
      <w:r w:rsidR="00EF5A3C">
        <w:t xml:space="preserve">, </w:t>
      </w:r>
      <w:r w:rsidR="003429BC">
        <w:t>Carmela and Sheba</w:t>
      </w:r>
      <w:r>
        <w:t xml:space="preserve"> identified </w:t>
      </w:r>
      <w:r w:rsidRPr="003429BC">
        <w:rPr>
          <w:i/>
        </w:rPr>
        <w:t>Littlewood’s Three Principles</w:t>
      </w:r>
      <w:r>
        <w:t xml:space="preserve"> as</w:t>
      </w:r>
      <w:r w:rsidR="003429BC">
        <w:br/>
      </w:r>
    </w:p>
    <w:p w14:paraId="1CA366D2" w14:textId="4184ABCA" w:rsidR="003429BC" w:rsidRDefault="003429BC" w:rsidP="003429BC">
      <w:pPr>
        <w:pStyle w:val="ListParagraph"/>
        <w:numPr>
          <w:ilvl w:val="1"/>
          <w:numId w:val="1"/>
        </w:numPr>
      </w:pPr>
      <w:r>
        <w:t>Every measurable set is “nearly” a finite union of intervals.</w:t>
      </w:r>
    </w:p>
    <w:p w14:paraId="43AC3A84" w14:textId="0301BA47" w:rsidR="003429BC" w:rsidRDefault="003429BC" w:rsidP="003429BC">
      <w:pPr>
        <w:pStyle w:val="ListParagraph"/>
        <w:numPr>
          <w:ilvl w:val="1"/>
          <w:numId w:val="1"/>
        </w:numPr>
      </w:pPr>
      <w:r>
        <w:t>Every measurable function is “nearly” continuous.</w:t>
      </w:r>
    </w:p>
    <w:p w14:paraId="076E79F8" w14:textId="77777777" w:rsidR="003429BC" w:rsidRDefault="003429BC" w:rsidP="003429BC">
      <w:pPr>
        <w:pStyle w:val="ListParagraph"/>
        <w:numPr>
          <w:ilvl w:val="1"/>
          <w:numId w:val="1"/>
        </w:numPr>
      </w:pPr>
      <w:r>
        <w:t>Every convergent sequence of measurable functions is “nearly” uniformly convergent.</w:t>
      </w:r>
    </w:p>
    <w:p w14:paraId="4872D5E8" w14:textId="6C9BB76C" w:rsidR="00572396" w:rsidRPr="00572396" w:rsidRDefault="00572396" w:rsidP="003429BC">
      <w:pPr>
        <w:ind w:left="360"/>
      </w:pPr>
      <w:r>
        <w:t xml:space="preserve">In class, we introduced the named theorems </w:t>
      </w:r>
      <w:r w:rsidR="00DC2E74" w:rsidRPr="00DC2E74">
        <w:t xml:space="preserve">Egorov’s </w:t>
      </w:r>
      <w:r w:rsidR="00814360">
        <w:t>Theorem, Luz</w:t>
      </w:r>
      <w:r>
        <w:t xml:space="preserve">in’s Theorem, Lebesgue Dominated </w:t>
      </w:r>
      <w:r w:rsidR="003C54C3">
        <w:t>Convergence</w:t>
      </w:r>
      <w:r>
        <w:t xml:space="preserve"> Theorem, </w:t>
      </w:r>
      <w:r w:rsidR="003C54C3">
        <w:t xml:space="preserve">Lebesgue Monotone Convergence Theorem, and </w:t>
      </w:r>
      <w:r w:rsidR="00814360">
        <w:t>Fatou</w:t>
      </w:r>
      <w:r w:rsidR="003429BC">
        <w:t xml:space="preserve">’s </w:t>
      </w:r>
      <w:r w:rsidR="00814360">
        <w:t>Lemma</w:t>
      </w:r>
      <w:r w:rsidR="003429BC">
        <w:t>. Two</w:t>
      </w:r>
      <w:r w:rsidR="003C54C3">
        <w:t xml:space="preserve"> of these theorems are equivalent to </w:t>
      </w:r>
      <w:r w:rsidR="002601B3">
        <w:t>t</w:t>
      </w:r>
      <w:r w:rsidR="003429BC">
        <w:t>w</w:t>
      </w:r>
      <w:r w:rsidR="002601B3">
        <w:t>o</w:t>
      </w:r>
      <w:r w:rsidR="003429BC">
        <w:t xml:space="preserve"> of </w:t>
      </w:r>
      <w:r w:rsidR="003C54C3">
        <w:t>the</w:t>
      </w:r>
      <w:r w:rsidR="002601B3">
        <w:t xml:space="preserve"> above</w:t>
      </w:r>
      <w:r w:rsidR="003C54C3">
        <w:t xml:space="preserve"> principles; who is who</w:t>
      </w:r>
      <w:r w:rsidR="000168A7">
        <w:t>?</w:t>
      </w:r>
      <w:r w:rsidR="002601B3">
        <w:t xml:space="preserve"> No proof necessary, just match up two of the principles with two of the named theorems</w:t>
      </w:r>
    </w:p>
    <w:sectPr w:rsidR="00572396" w:rsidRPr="00572396" w:rsidSect="002A3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77C"/>
    <w:multiLevelType w:val="hybridMultilevel"/>
    <w:tmpl w:val="B9D0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968"/>
    <w:multiLevelType w:val="hybridMultilevel"/>
    <w:tmpl w:val="FA30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4B53"/>
    <w:multiLevelType w:val="hybridMultilevel"/>
    <w:tmpl w:val="E3B08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B2BDD"/>
    <w:multiLevelType w:val="hybridMultilevel"/>
    <w:tmpl w:val="D25E1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1C5B"/>
    <w:multiLevelType w:val="multilevel"/>
    <w:tmpl w:val="036CB3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2D0306FD"/>
    <w:multiLevelType w:val="hybridMultilevel"/>
    <w:tmpl w:val="A3EAF5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E83"/>
    <w:multiLevelType w:val="hybridMultilevel"/>
    <w:tmpl w:val="6794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B52FD"/>
    <w:multiLevelType w:val="hybridMultilevel"/>
    <w:tmpl w:val="37A2B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960A5"/>
    <w:multiLevelType w:val="hybridMultilevel"/>
    <w:tmpl w:val="BAC82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02E85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53FD6804"/>
    <w:multiLevelType w:val="hybridMultilevel"/>
    <w:tmpl w:val="EC2251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9545A"/>
    <w:multiLevelType w:val="hybridMultilevel"/>
    <w:tmpl w:val="9984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D6686"/>
    <w:multiLevelType w:val="hybridMultilevel"/>
    <w:tmpl w:val="DC7C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814DC"/>
    <w:multiLevelType w:val="hybridMultilevel"/>
    <w:tmpl w:val="BDBC7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D05B4"/>
    <w:multiLevelType w:val="hybridMultilevel"/>
    <w:tmpl w:val="984C03C0"/>
    <w:lvl w:ilvl="0" w:tplc="250CA4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8"/>
  </w:num>
  <w:num w:numId="12">
    <w:abstractNumId w:val="4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4"/>
    <w:rsid w:val="000168A7"/>
    <w:rsid w:val="00063BE4"/>
    <w:rsid w:val="000E0DF9"/>
    <w:rsid w:val="000F233B"/>
    <w:rsid w:val="0010240D"/>
    <w:rsid w:val="0014503F"/>
    <w:rsid w:val="001B4868"/>
    <w:rsid w:val="002601B3"/>
    <w:rsid w:val="00261055"/>
    <w:rsid w:val="002675AB"/>
    <w:rsid w:val="002718A0"/>
    <w:rsid w:val="002A320E"/>
    <w:rsid w:val="00324D30"/>
    <w:rsid w:val="003429BC"/>
    <w:rsid w:val="0036077C"/>
    <w:rsid w:val="0037443F"/>
    <w:rsid w:val="003C54C3"/>
    <w:rsid w:val="003D60F5"/>
    <w:rsid w:val="004208D5"/>
    <w:rsid w:val="0044682D"/>
    <w:rsid w:val="00572396"/>
    <w:rsid w:val="005A77AD"/>
    <w:rsid w:val="005E2EEE"/>
    <w:rsid w:val="005E6327"/>
    <w:rsid w:val="005F2948"/>
    <w:rsid w:val="00672AE9"/>
    <w:rsid w:val="00681D9D"/>
    <w:rsid w:val="006F31EB"/>
    <w:rsid w:val="007552AA"/>
    <w:rsid w:val="00760098"/>
    <w:rsid w:val="00774B5A"/>
    <w:rsid w:val="007D5640"/>
    <w:rsid w:val="007E40A4"/>
    <w:rsid w:val="007E4912"/>
    <w:rsid w:val="007E6F49"/>
    <w:rsid w:val="007F5FBB"/>
    <w:rsid w:val="00814360"/>
    <w:rsid w:val="00844AC9"/>
    <w:rsid w:val="008B5FA1"/>
    <w:rsid w:val="008B620C"/>
    <w:rsid w:val="009272CB"/>
    <w:rsid w:val="009312A3"/>
    <w:rsid w:val="00934A93"/>
    <w:rsid w:val="009523F8"/>
    <w:rsid w:val="009641A5"/>
    <w:rsid w:val="009A2C98"/>
    <w:rsid w:val="009B2629"/>
    <w:rsid w:val="009C56B9"/>
    <w:rsid w:val="009D20C8"/>
    <w:rsid w:val="00AB6239"/>
    <w:rsid w:val="00AD110B"/>
    <w:rsid w:val="00AF2C81"/>
    <w:rsid w:val="00B26C98"/>
    <w:rsid w:val="00B94B6A"/>
    <w:rsid w:val="00BF5924"/>
    <w:rsid w:val="00DC2E74"/>
    <w:rsid w:val="00DF4BC2"/>
    <w:rsid w:val="00E42626"/>
    <w:rsid w:val="00E73DC9"/>
    <w:rsid w:val="00ED221C"/>
    <w:rsid w:val="00EE7F5B"/>
    <w:rsid w:val="00EF5A3C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CCC1"/>
  <w15:docId w15:val="{339B03D8-720A-40BC-BB94-5A04C31B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2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3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8EF77-9129-42C4-9685-AA741D60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3</cp:revision>
  <dcterms:created xsi:type="dcterms:W3CDTF">2017-05-04T18:13:00Z</dcterms:created>
  <dcterms:modified xsi:type="dcterms:W3CDTF">2017-05-04T18:37:00Z</dcterms:modified>
</cp:coreProperties>
</file>